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2CF" w:rsidRDefault="00813D28">
      <w:pPr>
        <w:pStyle w:val="Title"/>
        <w:ind w:left="180" w:right="270"/>
      </w:pPr>
      <w:r>
        <w:rPr>
          <w:noProof/>
        </w:rPr>
        <w:drawing>
          <wp:anchor distT="0" distB="0" distL="114300" distR="114300" simplePos="0" relativeHeight="251660288" behindDoc="0" locked="0" layoutInCell="1" allowOverlap="1">
            <wp:simplePos x="0" y="0"/>
            <wp:positionH relativeFrom="column">
              <wp:posOffset>-171450</wp:posOffset>
            </wp:positionH>
            <wp:positionV relativeFrom="paragraph">
              <wp:posOffset>-457200</wp:posOffset>
            </wp:positionV>
            <wp:extent cx="647700" cy="657225"/>
            <wp:effectExtent l="19050" t="0" r="0" b="0"/>
            <wp:wrapNone/>
            <wp:docPr id="2" name="Picture 2" descr="B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ll"/>
                    <pic:cNvPicPr>
                      <a:picLocks noChangeAspect="1" noChangeArrowheads="1"/>
                    </pic:cNvPicPr>
                  </pic:nvPicPr>
                  <pic:blipFill>
                    <a:blip r:embed="rId6" cstate="print"/>
                    <a:srcRect/>
                    <a:stretch>
                      <a:fillRect/>
                    </a:stretch>
                  </pic:blipFill>
                  <pic:spPr bwMode="auto">
                    <a:xfrm>
                      <a:off x="0" y="0"/>
                      <a:ext cx="647700" cy="657225"/>
                    </a:xfrm>
                    <a:prstGeom prst="rect">
                      <a:avLst/>
                    </a:prstGeom>
                    <a:noFill/>
                    <a:ln w="9525">
                      <a:noFill/>
                      <a:miter lim="800000"/>
                      <a:headEnd/>
                      <a:tailEnd/>
                    </a:ln>
                  </pic:spPr>
                </pic:pic>
              </a:graphicData>
            </a:graphic>
          </wp:anchor>
        </w:drawing>
      </w:r>
      <w:r w:rsidR="001842E4">
        <w:t xml:space="preserve">Rubric for a </w:t>
      </w:r>
      <w:r w:rsidR="001D52CF">
        <w:t xml:space="preserve">Collaborative </w:t>
      </w:r>
      <w:r>
        <w:t>21</w:t>
      </w:r>
      <w:r w:rsidRPr="00813D28">
        <w:rPr>
          <w:vertAlign w:val="superscript"/>
        </w:rPr>
        <w:t>st</w:t>
      </w:r>
      <w:r>
        <w:t xml:space="preserve"> Century Skills Unit Plan</w:t>
      </w:r>
      <w:r w:rsidR="00DC3C37">
        <w:t xml:space="preserve"> </w:t>
      </w:r>
    </w:p>
    <w:p w:rsidR="00DC3C37" w:rsidRDefault="00DC3C37">
      <w:pPr>
        <w:pStyle w:val="Title"/>
        <w:ind w:left="180" w:right="270"/>
        <w:rPr>
          <w:b w:val="0"/>
        </w:rPr>
      </w:pPr>
      <w:r>
        <w:rPr>
          <w:b w:val="0"/>
        </w:rPr>
        <w:tab/>
      </w:r>
    </w:p>
    <w:p w:rsidR="00DC3C37" w:rsidRDefault="00DC3C37">
      <w:pPr>
        <w:pStyle w:val="Caption"/>
      </w:pPr>
      <w:r>
        <w:t>Introduction</w:t>
      </w:r>
    </w:p>
    <w:p w:rsidR="00DC3C37" w:rsidRDefault="00DC3C37">
      <w:pPr>
        <w:ind w:left="180" w:right="270"/>
        <w:rPr>
          <w:snapToGrid w:val="0"/>
          <w:sz w:val="22"/>
        </w:rPr>
      </w:pPr>
      <w:r>
        <w:rPr>
          <w:sz w:val="22"/>
        </w:rPr>
        <w:t>Using this rubric, teachers can assess their inclusion of differentiated teaching practices that will reach the needs of their diverse learners. P</w:t>
      </w:r>
      <w:r w:rsidR="00813D28">
        <w:rPr>
          <w:sz w:val="22"/>
        </w:rPr>
        <w:t>roblem-based Learning (P</w:t>
      </w:r>
      <w:r>
        <w:rPr>
          <w:sz w:val="22"/>
        </w:rPr>
        <w:t>BL</w:t>
      </w:r>
      <w:r w:rsidR="00813D28">
        <w:rPr>
          <w:sz w:val="22"/>
        </w:rPr>
        <w:t>) with the</w:t>
      </w:r>
      <w:r>
        <w:rPr>
          <w:sz w:val="22"/>
        </w:rPr>
        <w:t xml:space="preserve"> </w:t>
      </w:r>
      <w:r w:rsidR="00813D28">
        <w:rPr>
          <w:sz w:val="22"/>
        </w:rPr>
        <w:t>inclusion of 21</w:t>
      </w:r>
      <w:r w:rsidR="00813D28" w:rsidRPr="00813D28">
        <w:rPr>
          <w:sz w:val="22"/>
          <w:vertAlign w:val="superscript"/>
        </w:rPr>
        <w:t>st</w:t>
      </w:r>
      <w:r w:rsidR="00813D28">
        <w:rPr>
          <w:sz w:val="22"/>
        </w:rPr>
        <w:t xml:space="preserve"> century Skills </w:t>
      </w:r>
      <w:r>
        <w:rPr>
          <w:sz w:val="22"/>
        </w:rPr>
        <w:t xml:space="preserve">is a collaborative learning model that takes a significant amount of effort over a predetermined amount of time. </w:t>
      </w:r>
      <w:r>
        <w:rPr>
          <w:snapToGrid w:val="0"/>
          <w:sz w:val="22"/>
        </w:rPr>
        <w:t xml:space="preserve">The key elements of this unit plan design are: collaboration among professional staff, a learner-centered environment; and assessment of teaching practices that improve learning and higher order thinking for </w:t>
      </w:r>
      <w:r>
        <w:rPr>
          <w:i/>
          <w:snapToGrid w:val="0"/>
          <w:sz w:val="22"/>
        </w:rPr>
        <w:t>all</w:t>
      </w:r>
      <w:r>
        <w:rPr>
          <w:snapToGrid w:val="0"/>
          <w:sz w:val="22"/>
        </w:rPr>
        <w:t xml:space="preserve"> students. </w:t>
      </w:r>
    </w:p>
    <w:p w:rsidR="00DC3C37" w:rsidRDefault="00DC3C37">
      <w:pPr>
        <w:ind w:left="180" w:right="270"/>
        <w:rPr>
          <w:snapToGrid w:val="0"/>
          <w:sz w:val="22"/>
        </w:rPr>
      </w:pPr>
    </w:p>
    <w:p w:rsidR="00813D28" w:rsidRDefault="00DC3C37">
      <w:pPr>
        <w:ind w:left="180" w:right="270"/>
        <w:rPr>
          <w:sz w:val="22"/>
        </w:rPr>
      </w:pPr>
      <w:r>
        <w:rPr>
          <w:sz w:val="22"/>
        </w:rPr>
        <w:t xml:space="preserve">The student learns in a holistic manner requiring a variety of experiences, assessment strategies, and feedback that develop the lifelong learning skills needed to be successful in a global-digital society.  This particular model addresses </w:t>
      </w:r>
      <w:r w:rsidR="00813D28">
        <w:rPr>
          <w:color w:val="0000FF"/>
          <w:sz w:val="22"/>
        </w:rPr>
        <w:t>7 categories of a Unit D</w:t>
      </w:r>
      <w:r>
        <w:rPr>
          <w:color w:val="0000FF"/>
          <w:sz w:val="22"/>
        </w:rPr>
        <w:t>esign</w:t>
      </w:r>
      <w:r>
        <w:rPr>
          <w:sz w:val="22"/>
        </w:rPr>
        <w:t xml:space="preserve">: </w:t>
      </w:r>
    </w:p>
    <w:p w:rsidR="00813D28" w:rsidRPr="00813D28" w:rsidRDefault="00813D28">
      <w:pPr>
        <w:ind w:left="180" w:right="270"/>
        <w:rPr>
          <w:color w:val="17365D" w:themeColor="text2" w:themeShade="BF"/>
          <w:sz w:val="22"/>
        </w:rPr>
      </w:pPr>
      <w:r w:rsidRPr="00813D28">
        <w:rPr>
          <w:color w:val="17365D" w:themeColor="text2" w:themeShade="BF"/>
          <w:sz w:val="22"/>
        </w:rPr>
        <w:t xml:space="preserve">1. </w:t>
      </w:r>
      <w:r w:rsidR="00DC3C37" w:rsidRPr="00813D28">
        <w:rPr>
          <w:color w:val="17365D" w:themeColor="text2" w:themeShade="BF"/>
          <w:sz w:val="22"/>
        </w:rPr>
        <w:t xml:space="preserve">Learning Environment, </w:t>
      </w:r>
    </w:p>
    <w:p w:rsidR="00813D28" w:rsidRPr="00813D28" w:rsidRDefault="00813D28">
      <w:pPr>
        <w:ind w:left="180" w:right="270"/>
        <w:rPr>
          <w:color w:val="17365D" w:themeColor="text2" w:themeShade="BF"/>
          <w:sz w:val="22"/>
        </w:rPr>
      </w:pPr>
      <w:r w:rsidRPr="00813D28">
        <w:rPr>
          <w:color w:val="17365D" w:themeColor="text2" w:themeShade="BF"/>
          <w:sz w:val="22"/>
        </w:rPr>
        <w:t xml:space="preserve">2. </w:t>
      </w:r>
      <w:r w:rsidR="00DC3C37" w:rsidRPr="00813D28">
        <w:rPr>
          <w:color w:val="17365D" w:themeColor="text2" w:themeShade="BF"/>
          <w:sz w:val="22"/>
        </w:rPr>
        <w:t xml:space="preserve">Unit Focus, </w:t>
      </w:r>
    </w:p>
    <w:p w:rsidR="00813D28" w:rsidRPr="00813D28" w:rsidRDefault="00813D28">
      <w:pPr>
        <w:ind w:left="180" w:right="270"/>
        <w:rPr>
          <w:color w:val="17365D" w:themeColor="text2" w:themeShade="BF"/>
          <w:sz w:val="22"/>
        </w:rPr>
      </w:pPr>
      <w:r w:rsidRPr="00813D28">
        <w:rPr>
          <w:color w:val="17365D" w:themeColor="text2" w:themeShade="BF"/>
          <w:sz w:val="22"/>
        </w:rPr>
        <w:t xml:space="preserve">3. </w:t>
      </w:r>
      <w:r w:rsidR="00DC3C37" w:rsidRPr="00813D28">
        <w:rPr>
          <w:color w:val="17365D" w:themeColor="text2" w:themeShade="BF"/>
          <w:sz w:val="22"/>
        </w:rPr>
        <w:t xml:space="preserve">The Planning Process, </w:t>
      </w:r>
    </w:p>
    <w:p w:rsidR="00813D28" w:rsidRPr="00813D28" w:rsidRDefault="00813D28">
      <w:pPr>
        <w:ind w:left="180" w:right="270"/>
        <w:rPr>
          <w:color w:val="17365D" w:themeColor="text2" w:themeShade="BF"/>
          <w:sz w:val="22"/>
        </w:rPr>
      </w:pPr>
      <w:r w:rsidRPr="00813D28">
        <w:rPr>
          <w:color w:val="17365D" w:themeColor="text2" w:themeShade="BF"/>
          <w:sz w:val="22"/>
        </w:rPr>
        <w:t xml:space="preserve">4. </w:t>
      </w:r>
      <w:r w:rsidR="00DC3C37" w:rsidRPr="00813D28">
        <w:rPr>
          <w:color w:val="17365D" w:themeColor="text2" w:themeShade="BF"/>
          <w:sz w:val="22"/>
        </w:rPr>
        <w:t xml:space="preserve">The Problem/s &amp; Scenarios, </w:t>
      </w:r>
    </w:p>
    <w:p w:rsidR="00813D28" w:rsidRPr="00813D28" w:rsidRDefault="00813D28">
      <w:pPr>
        <w:ind w:left="180" w:right="270"/>
        <w:rPr>
          <w:color w:val="17365D" w:themeColor="text2" w:themeShade="BF"/>
          <w:sz w:val="22"/>
        </w:rPr>
      </w:pPr>
      <w:r w:rsidRPr="00813D28">
        <w:rPr>
          <w:color w:val="17365D" w:themeColor="text2" w:themeShade="BF"/>
          <w:sz w:val="22"/>
        </w:rPr>
        <w:t xml:space="preserve">5. </w:t>
      </w:r>
      <w:r w:rsidR="00DC3C37" w:rsidRPr="00813D28">
        <w:rPr>
          <w:color w:val="17365D" w:themeColor="text2" w:themeShade="BF"/>
          <w:sz w:val="22"/>
        </w:rPr>
        <w:t xml:space="preserve">Assessment Strategies, </w:t>
      </w:r>
    </w:p>
    <w:p w:rsidR="00813D28" w:rsidRPr="00813D28" w:rsidRDefault="00813D28">
      <w:pPr>
        <w:ind w:left="180" w:right="270"/>
        <w:rPr>
          <w:color w:val="17365D" w:themeColor="text2" w:themeShade="BF"/>
          <w:sz w:val="22"/>
        </w:rPr>
      </w:pPr>
      <w:r w:rsidRPr="00813D28">
        <w:rPr>
          <w:color w:val="17365D" w:themeColor="text2" w:themeShade="BF"/>
          <w:sz w:val="22"/>
        </w:rPr>
        <w:t xml:space="preserve">6. </w:t>
      </w:r>
      <w:r w:rsidR="00DC3C37" w:rsidRPr="00813D28">
        <w:rPr>
          <w:color w:val="17365D" w:themeColor="text2" w:themeShade="BF"/>
          <w:sz w:val="22"/>
        </w:rPr>
        <w:t xml:space="preserve">Tools and Resources, and </w:t>
      </w:r>
    </w:p>
    <w:p w:rsidR="00DC3C37" w:rsidRPr="00813D28" w:rsidRDefault="00813D28">
      <w:pPr>
        <w:ind w:left="180" w:right="270"/>
        <w:rPr>
          <w:color w:val="17365D" w:themeColor="text2" w:themeShade="BF"/>
          <w:sz w:val="22"/>
        </w:rPr>
      </w:pPr>
      <w:r w:rsidRPr="00813D28">
        <w:rPr>
          <w:color w:val="17365D" w:themeColor="text2" w:themeShade="BF"/>
          <w:sz w:val="22"/>
        </w:rPr>
        <w:t xml:space="preserve">7. </w:t>
      </w:r>
      <w:r w:rsidR="00DC3C37" w:rsidRPr="00813D28">
        <w:rPr>
          <w:color w:val="17365D" w:themeColor="text2" w:themeShade="BF"/>
          <w:sz w:val="22"/>
        </w:rPr>
        <w:t xml:space="preserve">Reflections. </w:t>
      </w:r>
    </w:p>
    <w:p w:rsidR="00DC3C37" w:rsidRDefault="00DC3C37">
      <w:pPr>
        <w:pStyle w:val="BodyText"/>
        <w:ind w:left="180" w:right="270"/>
        <w:rPr>
          <w:rFonts w:ascii="Times New Roman" w:hAnsi="Times New Roman"/>
        </w:rPr>
      </w:pPr>
    </w:p>
    <w:p w:rsidR="00DC3C37" w:rsidRDefault="00DC3C37">
      <w:pPr>
        <w:ind w:left="180" w:right="270"/>
        <w:rPr>
          <w:sz w:val="22"/>
        </w:rPr>
      </w:pPr>
      <w:r>
        <w:rPr>
          <w:sz w:val="22"/>
        </w:rPr>
        <w:t xml:space="preserve">This rubric is designed to communicate the various levels of complexity that encompass </w:t>
      </w:r>
      <w:r w:rsidR="00813D28">
        <w:rPr>
          <w:sz w:val="22"/>
        </w:rPr>
        <w:t>21</w:t>
      </w:r>
      <w:r w:rsidR="00813D28" w:rsidRPr="00813D28">
        <w:rPr>
          <w:sz w:val="22"/>
          <w:vertAlign w:val="superscript"/>
        </w:rPr>
        <w:t>st</w:t>
      </w:r>
      <w:r w:rsidR="00813D28">
        <w:rPr>
          <w:sz w:val="22"/>
        </w:rPr>
        <w:t xml:space="preserve"> Century Skills unit</w:t>
      </w:r>
      <w:r>
        <w:rPr>
          <w:sz w:val="22"/>
        </w:rPr>
        <w:t xml:space="preserve"> planning. The details articulated in each column are components of a continuum. It is to be expected that no one unit would encompass each aspect of the continuum. The purpose of the Rubric is to foster discussion and thinking when units are being designed. The categories vary across the continuum in objectives, and student expectations, higher order thinking, and degrees of collaboration and independence. By moving across the continuum in each category the teacher/s are guiding the learners to reach a higher level of thinking and problem solving; skills needed in the competitive and collaborative, highly technological, 21</w:t>
      </w:r>
      <w:r>
        <w:rPr>
          <w:sz w:val="22"/>
          <w:vertAlign w:val="superscript"/>
        </w:rPr>
        <w:t>st</w:t>
      </w:r>
      <w:r>
        <w:rPr>
          <w:sz w:val="22"/>
        </w:rPr>
        <w:t xml:space="preserve"> century world of work.</w:t>
      </w:r>
    </w:p>
    <w:p w:rsidR="00DC3C37" w:rsidRDefault="00DC3C37"/>
    <w:p w:rsidR="00DC3C37" w:rsidRDefault="00DC3C37">
      <w:pPr>
        <w:pStyle w:val="Heading1"/>
      </w:pPr>
      <w:r>
        <w:t>Critical Information</w:t>
      </w:r>
    </w:p>
    <w:p w:rsidR="00DC3C37" w:rsidRDefault="00DC3C37">
      <w:pPr>
        <w:spacing w:line="360" w:lineRule="auto"/>
      </w:pPr>
      <w:r>
        <w:t>Teachers’ names ____________________________________________</w:t>
      </w:r>
    </w:p>
    <w:p w:rsidR="00DC3C37" w:rsidRDefault="00DC3C37">
      <w:pPr>
        <w:spacing w:line="360" w:lineRule="auto"/>
      </w:pPr>
      <w:r>
        <w:t>E-mail of contact teacher _____________________________________</w:t>
      </w:r>
      <w:r>
        <w:tab/>
      </w:r>
    </w:p>
    <w:p w:rsidR="00DC3C37" w:rsidRDefault="00DC3C37">
      <w:pPr>
        <w:spacing w:line="360" w:lineRule="auto"/>
      </w:pPr>
      <w:r>
        <w:t>Unit Title _________________________________________________Subject/s _____________________</w:t>
      </w:r>
    </w:p>
    <w:p w:rsidR="00DC3C37" w:rsidRDefault="00DC3C37">
      <w:pPr>
        <w:spacing w:line="360" w:lineRule="auto"/>
      </w:pPr>
      <w:r>
        <w:t>Grade or target audience __________</w:t>
      </w:r>
    </w:p>
    <w:p w:rsidR="00DC3C37" w:rsidRDefault="00DC3C37">
      <w:pPr>
        <w:spacing w:line="360" w:lineRule="auto"/>
      </w:pPr>
      <w:r>
        <w:t>Date unit introduced _____________</w:t>
      </w:r>
      <w:r>
        <w:tab/>
      </w:r>
      <w:r>
        <w:tab/>
        <w:t>Date unit is to be completed ____________</w:t>
      </w:r>
    </w:p>
    <w:sectPr w:rsidR="00DC3C37" w:rsidSect="00592493">
      <w:foot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30A0" w:rsidRDefault="008030A0" w:rsidP="00C56247">
      <w:r>
        <w:separator/>
      </w:r>
    </w:p>
  </w:endnote>
  <w:endnote w:type="continuationSeparator" w:id="0">
    <w:p w:rsidR="008030A0" w:rsidRDefault="008030A0" w:rsidP="00C562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8CB" w:rsidRDefault="008A38CB">
    <w:pPr>
      <w:pStyle w:val="Footer"/>
      <w:jc w:val="center"/>
      <w:rPr>
        <w:sz w:val="18"/>
      </w:rPr>
    </w:pPr>
  </w:p>
  <w:p w:rsidR="008A38CB" w:rsidRDefault="008A38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30A0" w:rsidRDefault="008030A0" w:rsidP="00C56247">
      <w:r>
        <w:separator/>
      </w:r>
    </w:p>
  </w:footnote>
  <w:footnote w:type="continuationSeparator" w:id="0">
    <w:p w:rsidR="008030A0" w:rsidRDefault="008030A0" w:rsidP="00C5624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6146"/>
  </w:hdrShapeDefaults>
  <w:footnotePr>
    <w:footnote w:id="-1"/>
    <w:footnote w:id="0"/>
  </w:footnotePr>
  <w:endnotePr>
    <w:endnote w:id="-1"/>
    <w:endnote w:id="0"/>
  </w:endnotePr>
  <w:compat/>
  <w:rsids>
    <w:rsidRoot w:val="00856100"/>
    <w:rsid w:val="001842E4"/>
    <w:rsid w:val="001D52CF"/>
    <w:rsid w:val="00214ECF"/>
    <w:rsid w:val="004A4D27"/>
    <w:rsid w:val="00592493"/>
    <w:rsid w:val="0065242D"/>
    <w:rsid w:val="008030A0"/>
    <w:rsid w:val="00813D28"/>
    <w:rsid w:val="00856100"/>
    <w:rsid w:val="0087740C"/>
    <w:rsid w:val="008A38CB"/>
    <w:rsid w:val="00D057B7"/>
    <w:rsid w:val="00DC3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493"/>
  </w:style>
  <w:style w:type="paragraph" w:styleId="Heading1">
    <w:name w:val="heading 1"/>
    <w:basedOn w:val="Normal"/>
    <w:next w:val="Normal"/>
    <w:qFormat/>
    <w:rsid w:val="00592493"/>
    <w:pPr>
      <w:keepNext/>
      <w:spacing w:line="360" w:lineRule="auto"/>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92493"/>
    <w:rPr>
      <w:rFonts w:ascii="Arial" w:hAnsi="Arial"/>
      <w:sz w:val="22"/>
    </w:rPr>
  </w:style>
  <w:style w:type="paragraph" w:styleId="Title">
    <w:name w:val="Title"/>
    <w:basedOn w:val="Normal"/>
    <w:qFormat/>
    <w:rsid w:val="00592493"/>
    <w:pPr>
      <w:jc w:val="center"/>
    </w:pPr>
    <w:rPr>
      <w:b/>
      <w:sz w:val="28"/>
    </w:rPr>
  </w:style>
  <w:style w:type="paragraph" w:styleId="Header">
    <w:name w:val="header"/>
    <w:basedOn w:val="Normal"/>
    <w:rsid w:val="00592493"/>
    <w:pPr>
      <w:tabs>
        <w:tab w:val="center" w:pos="4320"/>
        <w:tab w:val="right" w:pos="8640"/>
      </w:tabs>
    </w:pPr>
  </w:style>
  <w:style w:type="paragraph" w:styleId="Footer">
    <w:name w:val="footer"/>
    <w:basedOn w:val="Normal"/>
    <w:rsid w:val="00592493"/>
    <w:pPr>
      <w:tabs>
        <w:tab w:val="center" w:pos="4320"/>
        <w:tab w:val="right" w:pos="8640"/>
      </w:tabs>
    </w:pPr>
  </w:style>
  <w:style w:type="paragraph" w:styleId="Caption">
    <w:name w:val="caption"/>
    <w:basedOn w:val="Normal"/>
    <w:next w:val="Normal"/>
    <w:qFormat/>
    <w:rsid w:val="00592493"/>
    <w:pPr>
      <w:ind w:left="180" w:right="270"/>
    </w:pPr>
    <w:rPr>
      <w:b/>
      <w:sz w:val="24"/>
    </w:rPr>
  </w:style>
  <w:style w:type="character" w:styleId="Hyperlink">
    <w:name w:val="Hyperlink"/>
    <w:basedOn w:val="DefaultParagraphFont"/>
    <w:rsid w:val="0065242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327</Words>
  <Characters>1867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lpstr>
    </vt:vector>
  </TitlesOfParts>
  <Company>Department of Public Instruction</Company>
  <LinksUpToDate>false</LinksUpToDate>
  <CharactersWithSpaces>2190</CharactersWithSpaces>
  <SharedDoc>false</SharedDoc>
  <HLinks>
    <vt:vector size="6" baseType="variant">
      <vt:variant>
        <vt:i4>6881338</vt:i4>
      </vt:variant>
      <vt:variant>
        <vt:i4>0</vt:i4>
      </vt:variant>
      <vt:variant>
        <vt:i4>0</vt:i4>
      </vt:variant>
      <vt:variant>
        <vt:i4>5</vt:i4>
      </vt:variant>
      <vt:variant>
        <vt:lpwstr>http://www.ncrel.org/engauge/skills/skills.htm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Kathy Boguszewski</dc:creator>
  <cp:keywords/>
  <dc:description/>
  <cp:lastModifiedBy>kboguszewski</cp:lastModifiedBy>
  <cp:revision>3</cp:revision>
  <cp:lastPrinted>2009-07-30T17:25:00Z</cp:lastPrinted>
  <dcterms:created xsi:type="dcterms:W3CDTF">2009-07-27T19:33:00Z</dcterms:created>
  <dcterms:modified xsi:type="dcterms:W3CDTF">2009-07-30T17:26:00Z</dcterms:modified>
</cp:coreProperties>
</file>